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A6CA2" w14:textId="77777777" w:rsidR="0036737B" w:rsidRPr="0036737B" w:rsidRDefault="0036737B" w:rsidP="0036737B">
      <w:pPr>
        <w:spacing w:line="360" w:lineRule="auto"/>
        <w:jc w:val="center"/>
        <w:rPr>
          <w:rFonts w:ascii="Arial" w:eastAsia="Calibri" w:hAnsi="Arial" w:cs="Arial"/>
          <w:sz w:val="22"/>
          <w:szCs w:val="22"/>
        </w:rPr>
      </w:pPr>
      <w:r w:rsidRPr="0036737B">
        <w:rPr>
          <w:rFonts w:ascii="Arial" w:eastAsia="Calibri" w:hAnsi="Arial" w:cs="Arial"/>
          <w:b/>
          <w:sz w:val="22"/>
          <w:szCs w:val="22"/>
        </w:rPr>
        <w:t>Sea surface and seafloor irradiance</w:t>
      </w:r>
    </w:p>
    <w:p w14:paraId="014862DA" w14:textId="77777777" w:rsidR="009F3B12" w:rsidRDefault="009F3B12" w:rsidP="0036737B">
      <w:pPr>
        <w:spacing w:line="360" w:lineRule="auto"/>
        <w:rPr>
          <w:rFonts w:ascii="Arial" w:hAnsi="Arial" w:cs="Arial"/>
          <w:b/>
          <w:bCs/>
          <w:sz w:val="22"/>
          <w:szCs w:val="22"/>
        </w:rPr>
      </w:pPr>
    </w:p>
    <w:p w14:paraId="40D71E51" w14:textId="650EBBD2" w:rsidR="00515F22" w:rsidRPr="0036737B" w:rsidRDefault="00515F22" w:rsidP="0036737B">
      <w:pPr>
        <w:spacing w:line="360" w:lineRule="auto"/>
        <w:rPr>
          <w:rFonts w:ascii="Arial" w:hAnsi="Arial" w:cs="Arial"/>
          <w:b/>
          <w:bCs/>
          <w:sz w:val="22"/>
          <w:szCs w:val="22"/>
        </w:rPr>
      </w:pPr>
      <w:r w:rsidRPr="0036737B">
        <w:rPr>
          <w:rFonts w:ascii="Arial" w:hAnsi="Arial" w:cs="Arial"/>
          <w:b/>
          <w:bCs/>
          <w:sz w:val="22"/>
          <w:szCs w:val="22"/>
        </w:rPr>
        <w:t>Overview</w:t>
      </w:r>
      <w:bookmarkStart w:id="0" w:name="_GoBack"/>
      <w:bookmarkEnd w:id="0"/>
    </w:p>
    <w:p w14:paraId="17B2D16F" w14:textId="77777777"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t>Sea surface and seafloor irradiance were recorded once or twice per minute in permanent plots at five subtidal reefs and one coastal location off Santa Barbara, California as part of a long-term experiment designed to evaluate the effects of disturbance to giant kelp on the structure and productivity of the benthic community. The five reefs (Arroyo Quemado 34</w:t>
      </w:r>
      <w:r w:rsidRPr="0036737B">
        <w:rPr>
          <w:rFonts w:ascii="Arial" w:hAnsi="Arial" w:cs="Arial"/>
          <w:sz w:val="22"/>
          <w:szCs w:val="22"/>
          <w:vertAlign w:val="superscript"/>
        </w:rPr>
        <w:t xml:space="preserve">0 </w:t>
      </w:r>
      <w:r w:rsidRPr="0036737B">
        <w:rPr>
          <w:rFonts w:ascii="Arial" w:hAnsi="Arial" w:cs="Arial"/>
          <w:sz w:val="22"/>
          <w:szCs w:val="22"/>
        </w:rPr>
        <w:t>28.048’N, 120</w:t>
      </w:r>
      <w:r w:rsidRPr="0036737B">
        <w:rPr>
          <w:rFonts w:ascii="Arial" w:hAnsi="Arial" w:cs="Arial"/>
          <w:sz w:val="22"/>
          <w:szCs w:val="22"/>
          <w:vertAlign w:val="superscript"/>
        </w:rPr>
        <w:t>0</w:t>
      </w:r>
      <w:r w:rsidRPr="0036737B">
        <w:rPr>
          <w:rFonts w:ascii="Arial" w:hAnsi="Arial" w:cs="Arial"/>
          <w:sz w:val="22"/>
          <w:szCs w:val="22"/>
        </w:rPr>
        <w:t xml:space="preserve"> 07.031’W; Carpinteria 34</w:t>
      </w:r>
      <w:r w:rsidRPr="0036737B">
        <w:rPr>
          <w:rFonts w:ascii="Arial" w:hAnsi="Arial" w:cs="Arial"/>
          <w:sz w:val="22"/>
          <w:szCs w:val="22"/>
          <w:vertAlign w:val="superscript"/>
        </w:rPr>
        <w:t xml:space="preserve">0 </w:t>
      </w:r>
      <w:r w:rsidRPr="0036737B">
        <w:rPr>
          <w:rFonts w:ascii="Arial" w:hAnsi="Arial" w:cs="Arial"/>
          <w:sz w:val="22"/>
          <w:szCs w:val="22"/>
        </w:rPr>
        <w:t>23.474’N, 119</w:t>
      </w:r>
      <w:r w:rsidRPr="0036737B">
        <w:rPr>
          <w:rFonts w:ascii="Arial" w:hAnsi="Arial" w:cs="Arial"/>
          <w:sz w:val="22"/>
          <w:szCs w:val="22"/>
          <w:vertAlign w:val="superscript"/>
        </w:rPr>
        <w:t>0</w:t>
      </w:r>
      <w:r w:rsidRPr="0036737B">
        <w:rPr>
          <w:rFonts w:ascii="Arial" w:hAnsi="Arial" w:cs="Arial"/>
          <w:sz w:val="22"/>
          <w:szCs w:val="22"/>
        </w:rPr>
        <w:t xml:space="preserve"> 32.510’W; Isla Vista 34</w:t>
      </w:r>
      <w:r w:rsidRPr="0036737B">
        <w:rPr>
          <w:rFonts w:ascii="Arial" w:hAnsi="Arial" w:cs="Arial"/>
          <w:sz w:val="22"/>
          <w:szCs w:val="22"/>
          <w:vertAlign w:val="superscript"/>
        </w:rPr>
        <w:t xml:space="preserve">0 </w:t>
      </w:r>
      <w:r w:rsidRPr="0036737B">
        <w:rPr>
          <w:rFonts w:ascii="Arial" w:hAnsi="Arial" w:cs="Arial"/>
          <w:sz w:val="22"/>
          <w:szCs w:val="22"/>
        </w:rPr>
        <w:t>23.275’N, 119</w:t>
      </w:r>
      <w:r w:rsidRPr="0036737B">
        <w:rPr>
          <w:rFonts w:ascii="Arial" w:hAnsi="Arial" w:cs="Arial"/>
          <w:sz w:val="22"/>
          <w:szCs w:val="22"/>
          <w:vertAlign w:val="superscript"/>
        </w:rPr>
        <w:t>0</w:t>
      </w:r>
      <w:r w:rsidRPr="0036737B">
        <w:rPr>
          <w:rFonts w:ascii="Arial" w:hAnsi="Arial" w:cs="Arial"/>
          <w:sz w:val="22"/>
          <w:szCs w:val="22"/>
        </w:rPr>
        <w:t xml:space="preserve"> 32.792’W; Mohawk 34</w:t>
      </w:r>
      <w:r w:rsidRPr="0036737B">
        <w:rPr>
          <w:rFonts w:ascii="Arial" w:hAnsi="Arial" w:cs="Arial"/>
          <w:sz w:val="22"/>
          <w:szCs w:val="22"/>
          <w:vertAlign w:val="superscript"/>
        </w:rPr>
        <w:t>0</w:t>
      </w:r>
      <w:r w:rsidRPr="0036737B">
        <w:rPr>
          <w:rFonts w:ascii="Arial" w:hAnsi="Arial" w:cs="Arial"/>
          <w:sz w:val="22"/>
          <w:szCs w:val="22"/>
        </w:rPr>
        <w:t xml:space="preserve"> 23.649’N, 119</w:t>
      </w:r>
      <w:r w:rsidRPr="0036737B">
        <w:rPr>
          <w:rFonts w:ascii="Arial" w:hAnsi="Arial" w:cs="Arial"/>
          <w:sz w:val="22"/>
          <w:szCs w:val="22"/>
          <w:vertAlign w:val="superscript"/>
        </w:rPr>
        <w:t>0</w:t>
      </w:r>
      <w:r w:rsidRPr="0036737B">
        <w:rPr>
          <w:rFonts w:ascii="Arial" w:hAnsi="Arial" w:cs="Arial"/>
          <w:sz w:val="22"/>
          <w:szCs w:val="22"/>
        </w:rPr>
        <w:t xml:space="preserve"> 43.762’W; and Naples 34</w:t>
      </w:r>
      <w:r w:rsidRPr="0036737B">
        <w:rPr>
          <w:rFonts w:ascii="Arial" w:hAnsi="Arial" w:cs="Arial"/>
          <w:sz w:val="22"/>
          <w:szCs w:val="22"/>
        </w:rPr>
        <w:sym w:font="Symbol" w:char="F0B0"/>
      </w:r>
      <w:r w:rsidRPr="0036737B">
        <w:rPr>
          <w:rFonts w:ascii="Arial" w:hAnsi="Arial" w:cs="Arial"/>
          <w:sz w:val="22"/>
          <w:szCs w:val="22"/>
        </w:rPr>
        <w:t xml:space="preserve"> 25.342’N, 119</w:t>
      </w:r>
      <w:r w:rsidRPr="0036737B">
        <w:rPr>
          <w:rFonts w:ascii="Arial" w:hAnsi="Arial" w:cs="Arial"/>
          <w:sz w:val="22"/>
          <w:szCs w:val="22"/>
        </w:rPr>
        <w:sym w:font="Symbol" w:char="F0B0"/>
      </w:r>
      <w:r w:rsidRPr="0036737B">
        <w:rPr>
          <w:rFonts w:ascii="Arial" w:hAnsi="Arial" w:cs="Arial"/>
          <w:sz w:val="22"/>
          <w:szCs w:val="22"/>
        </w:rPr>
        <w:t xml:space="preserve"> 57.102’W) ranged in depth from 5.8 m to 8.9 m (MLLW) and were chosen to represent a range of physical and biological characteristics known to influence subtidal macroalgal assemblages in the region. A common (but not always persistent) feature on these reefs was the presence of the giant kelp, which forms a dense canopy at the sea surface that reduces the amount of light reaching the bottom (Reed and Foster 1984, </w:t>
      </w:r>
      <w:proofErr w:type="spellStart"/>
      <w:r w:rsidRPr="0036737B">
        <w:rPr>
          <w:rFonts w:ascii="Arial" w:hAnsi="Arial" w:cs="Arial"/>
          <w:sz w:val="22"/>
          <w:szCs w:val="22"/>
        </w:rPr>
        <w:t>Castorani</w:t>
      </w:r>
      <w:proofErr w:type="spellEnd"/>
      <w:r w:rsidRPr="0036737B">
        <w:rPr>
          <w:rFonts w:ascii="Arial" w:hAnsi="Arial" w:cs="Arial"/>
          <w:sz w:val="22"/>
          <w:szCs w:val="22"/>
        </w:rPr>
        <w:t xml:space="preserve"> et al. 2018). At each reef, sensors were placed in plots where giant kelp was experimentally removed continuously (i.e., 1-2 times per season), once per year in winter, or not all. Natural removal of giant kelp via disturbance from storms, grazing and senescence was not controlled for in any plot. </w:t>
      </w:r>
    </w:p>
    <w:p w14:paraId="42195828" w14:textId="77777777" w:rsidR="00515F22" w:rsidRPr="0036737B" w:rsidRDefault="00515F22" w:rsidP="0036737B">
      <w:pPr>
        <w:spacing w:line="360" w:lineRule="auto"/>
        <w:rPr>
          <w:rFonts w:ascii="Arial" w:hAnsi="Arial" w:cs="Arial"/>
          <w:sz w:val="22"/>
          <w:szCs w:val="22"/>
        </w:rPr>
      </w:pPr>
    </w:p>
    <w:p w14:paraId="6157BF49" w14:textId="77777777"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t>Irradiance was measured using submersible spherical PAR sensors (MKV-L, Alec Electronics, Japan) from 2008-2015 and submersible planar PAR sensors (DEFI-L, Alec Electronics, Japan) from 2016 to the present. Measurements were averaged over the course of each hour and data are presented as average instantaneous irradiance per hour in units of µmol m</w:t>
      </w:r>
      <w:r w:rsidRPr="0036737B">
        <w:rPr>
          <w:rFonts w:ascii="Arial" w:hAnsi="Arial" w:cs="Arial"/>
          <w:sz w:val="22"/>
          <w:szCs w:val="22"/>
          <w:vertAlign w:val="superscript"/>
        </w:rPr>
        <w:t>-2</w:t>
      </w:r>
      <w:r w:rsidRPr="0036737B">
        <w:rPr>
          <w:rFonts w:ascii="Arial" w:hAnsi="Arial" w:cs="Arial"/>
          <w:sz w:val="22"/>
          <w:szCs w:val="22"/>
        </w:rPr>
        <w:t xml:space="preserve"> sec</w:t>
      </w:r>
      <w:r w:rsidRPr="0036737B">
        <w:rPr>
          <w:rFonts w:ascii="Arial" w:hAnsi="Arial" w:cs="Arial"/>
          <w:sz w:val="22"/>
          <w:szCs w:val="22"/>
          <w:vertAlign w:val="superscript"/>
        </w:rPr>
        <w:t>-1</w:t>
      </w:r>
      <w:r w:rsidRPr="0036737B">
        <w:rPr>
          <w:rFonts w:ascii="Arial" w:hAnsi="Arial" w:cs="Arial"/>
          <w:sz w:val="22"/>
          <w:szCs w:val="22"/>
        </w:rPr>
        <w:t>.</w:t>
      </w:r>
    </w:p>
    <w:p w14:paraId="7E523BAB" w14:textId="77777777" w:rsidR="00515F22" w:rsidRPr="0036737B" w:rsidRDefault="00515F22" w:rsidP="0036737B">
      <w:pPr>
        <w:spacing w:line="360" w:lineRule="auto"/>
        <w:rPr>
          <w:rFonts w:ascii="Arial" w:hAnsi="Arial" w:cs="Arial"/>
          <w:sz w:val="22"/>
          <w:szCs w:val="22"/>
        </w:rPr>
      </w:pPr>
    </w:p>
    <w:p w14:paraId="33C7FB65" w14:textId="77777777" w:rsidR="00515F22" w:rsidRPr="0036737B" w:rsidRDefault="00515F22" w:rsidP="0036737B">
      <w:pPr>
        <w:spacing w:line="360" w:lineRule="auto"/>
        <w:rPr>
          <w:rFonts w:ascii="Arial" w:hAnsi="Arial" w:cs="Arial"/>
          <w:b/>
          <w:bCs/>
          <w:sz w:val="22"/>
          <w:szCs w:val="22"/>
        </w:rPr>
      </w:pPr>
      <w:r w:rsidRPr="0036737B">
        <w:rPr>
          <w:rFonts w:ascii="Arial" w:hAnsi="Arial" w:cs="Arial"/>
          <w:b/>
          <w:bCs/>
          <w:sz w:val="22"/>
          <w:szCs w:val="22"/>
        </w:rPr>
        <w:t>Measurements of seafloor irradiance</w:t>
      </w:r>
    </w:p>
    <w:p w14:paraId="1A04174D" w14:textId="77777777"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t>PAR sensors were mounted ~ 30 cm off the bottom on rebar stakes using stainless steel hose clamps. Sensors were retrieved for data download and servicing every 6-12 weeks and simultaneously replaced with newly serviced sensors. Sensors were wrapped in black electrical tape during transport from the laboratory to the field to ensure that all light readings prior to deployment were zero. Once deployed underwater the tape was removed and the time of deployment noted in an event log.</w:t>
      </w:r>
    </w:p>
    <w:p w14:paraId="29FEB4FF" w14:textId="77777777" w:rsidR="00515F22" w:rsidRPr="0036737B" w:rsidRDefault="00515F22" w:rsidP="0036737B">
      <w:pPr>
        <w:spacing w:line="360" w:lineRule="auto"/>
        <w:rPr>
          <w:rFonts w:ascii="Arial" w:hAnsi="Arial" w:cs="Arial"/>
          <w:sz w:val="22"/>
          <w:szCs w:val="22"/>
        </w:rPr>
      </w:pPr>
    </w:p>
    <w:p w14:paraId="1FAF6FE3" w14:textId="26C4AAF9" w:rsidR="00111998" w:rsidRPr="0036737B" w:rsidRDefault="00515F22" w:rsidP="0036737B">
      <w:pPr>
        <w:spacing w:line="360" w:lineRule="auto"/>
        <w:rPr>
          <w:rFonts w:ascii="Arial" w:hAnsi="Arial" w:cs="Arial"/>
          <w:sz w:val="22"/>
          <w:szCs w:val="22"/>
        </w:rPr>
      </w:pPr>
      <w:r w:rsidRPr="0036737B">
        <w:rPr>
          <w:rFonts w:ascii="Arial" w:hAnsi="Arial" w:cs="Arial"/>
          <w:sz w:val="22"/>
          <w:szCs w:val="22"/>
        </w:rPr>
        <w:t xml:space="preserve">Biological fouling (primarily by benthic diatoms) on the sensors occurs to varying degrees during deployment which affects measurement accuracy. To account for attenuation of light due to </w:t>
      </w:r>
      <w:r w:rsidRPr="0036737B">
        <w:rPr>
          <w:rFonts w:ascii="Arial" w:hAnsi="Arial" w:cs="Arial"/>
          <w:sz w:val="22"/>
          <w:szCs w:val="22"/>
        </w:rPr>
        <w:lastRenderedPageBreak/>
        <w:t xml:space="preserve">biofouling we cleaned the sensors in situ 20 minutes before retrieval and calculated attenuation </w:t>
      </w:r>
      <w:r w:rsidR="0036737B">
        <w:rPr>
          <w:rFonts w:ascii="Arial" w:hAnsi="Arial" w:cs="Arial"/>
          <w:sz w:val="22"/>
          <w:szCs w:val="22"/>
        </w:rPr>
        <w:t>(</w:t>
      </w:r>
      <w:r w:rsidR="00AB0549" w:rsidRPr="0036737B">
        <w:rPr>
          <w:rFonts w:ascii="Arial" w:hAnsi="Arial" w:cs="Arial"/>
          <w:sz w:val="22"/>
          <w:szCs w:val="22"/>
        </w:rPr>
        <w:t>a</w:t>
      </w:r>
      <w:r w:rsidR="0036737B">
        <w:rPr>
          <w:rFonts w:ascii="Arial" w:hAnsi="Arial" w:cs="Arial"/>
          <w:sz w:val="22"/>
          <w:szCs w:val="22"/>
        </w:rPr>
        <w:t>)</w:t>
      </w:r>
      <w:r w:rsidR="00AB0549" w:rsidRPr="0036737B">
        <w:rPr>
          <w:rFonts w:ascii="Arial" w:hAnsi="Arial" w:cs="Arial"/>
          <w:sz w:val="22"/>
          <w:szCs w:val="22"/>
        </w:rPr>
        <w:t xml:space="preserve"> </w:t>
      </w:r>
      <w:r w:rsidRPr="0036737B">
        <w:rPr>
          <w:rFonts w:ascii="Arial" w:hAnsi="Arial" w:cs="Arial"/>
          <w:sz w:val="22"/>
          <w:szCs w:val="22"/>
        </w:rPr>
        <w:t xml:space="preserve">by biofouling as </w:t>
      </w:r>
    </w:p>
    <w:p w14:paraId="072A1E49" w14:textId="664253BD" w:rsidR="00414F22" w:rsidRPr="0036737B" w:rsidRDefault="0036737B" w:rsidP="0036737B">
      <w:pPr>
        <w:spacing w:line="360" w:lineRule="auto"/>
        <w:rPr>
          <w:rFonts w:ascii="Arial" w:hAnsi="Arial" w:cs="Arial"/>
          <w:sz w:val="22"/>
          <w:szCs w:val="22"/>
        </w:rPr>
      </w:pPr>
      <m:oMathPara>
        <m:oMath>
          <m:r>
            <w:rPr>
              <w:rFonts w:ascii="Cambria Math" w:hAnsi="Cambria Math" w:cs="Arial"/>
              <w:sz w:val="22"/>
              <w:szCs w:val="22"/>
            </w:rPr>
            <m:t>(</m:t>
          </m:r>
          <m:r>
            <w:rPr>
              <w:rFonts w:ascii="Cambria Math" w:hAnsi="Cambria Math" w:cs="Arial"/>
              <w:sz w:val="22"/>
              <w:szCs w:val="22"/>
            </w:rPr>
            <m:t>a</m:t>
          </m:r>
          <m:r>
            <w:rPr>
              <w:rFonts w:ascii="Cambria Math" w:hAnsi="Cambria Math" w:cs="Arial"/>
              <w:sz w:val="22"/>
              <w:szCs w:val="22"/>
            </w:rPr>
            <m:t>)</m:t>
          </m:r>
          <m:r>
            <m:rPr>
              <m:sty m:val="p"/>
            </m:rPr>
            <w:rPr>
              <w:rFonts w:ascii="Cambria Math" w:hAnsi="Cambria Math" w:cs="Arial"/>
              <w:sz w:val="22"/>
              <w:szCs w:val="22"/>
            </w:rPr>
            <m:t>=-ln⁡(</m:t>
          </m:r>
          <m:f>
            <m:fPr>
              <m:ctrlPr>
                <w:rPr>
                  <w:rFonts w:ascii="Cambria Math" w:hAnsi="Cambria Math" w:cs="Arial"/>
                  <w:sz w:val="22"/>
                  <w:szCs w:val="22"/>
                </w:rPr>
              </m:ctrlPr>
            </m:fPr>
            <m:num>
              <m:r>
                <w:rPr>
                  <w:rFonts w:ascii="Cambria Math" w:hAnsi="Cambria Math" w:cs="Arial"/>
                  <w:sz w:val="22"/>
                  <w:szCs w:val="22"/>
                </w:rPr>
                <m:t>dirty</m:t>
              </m:r>
            </m:num>
            <m:den>
              <m:r>
                <m:rPr>
                  <m:sty m:val="p"/>
                </m:rPr>
                <w:rPr>
                  <w:rFonts w:ascii="Cambria Math" w:hAnsi="Cambria Math" w:cs="Arial"/>
                  <w:sz w:val="22"/>
                  <w:szCs w:val="22"/>
                </w:rPr>
                <m:t>clean</m:t>
              </m:r>
            </m:den>
          </m:f>
          <m:r>
            <w:rPr>
              <w:rFonts w:ascii="Cambria Math" w:hAnsi="Cambria Math" w:cs="Arial"/>
              <w:sz w:val="22"/>
              <w:szCs w:val="22"/>
            </w:rPr>
            <m:t>)</m:t>
          </m:r>
        </m:oMath>
      </m:oMathPara>
    </w:p>
    <w:p w14:paraId="10D95A4D" w14:textId="77777777" w:rsidR="00414F22" w:rsidRPr="0036737B" w:rsidRDefault="00414F22" w:rsidP="0036737B">
      <w:pPr>
        <w:spacing w:line="360" w:lineRule="auto"/>
        <w:rPr>
          <w:rFonts w:ascii="Arial" w:hAnsi="Arial" w:cs="Arial"/>
          <w:sz w:val="22"/>
          <w:szCs w:val="22"/>
        </w:rPr>
      </w:pPr>
    </w:p>
    <w:p w14:paraId="45C5912C" w14:textId="75D89502"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t xml:space="preserve">where </w:t>
      </w:r>
      <w:r w:rsidRPr="0036737B">
        <w:rPr>
          <w:rFonts w:ascii="Arial" w:hAnsi="Arial" w:cs="Arial"/>
          <w:i/>
          <w:iCs/>
          <w:sz w:val="22"/>
          <w:szCs w:val="22"/>
        </w:rPr>
        <w:t>dirty</w:t>
      </w:r>
      <w:r w:rsidRPr="0036737B">
        <w:rPr>
          <w:rFonts w:ascii="Arial" w:hAnsi="Arial" w:cs="Arial"/>
          <w:sz w:val="22"/>
          <w:szCs w:val="22"/>
        </w:rPr>
        <w:t xml:space="preserve"> represents the mean irradiance sampled once per minute for 20 minutes prior to the sensor being cleaned on retrieval day and </w:t>
      </w:r>
      <w:r w:rsidRPr="0036737B">
        <w:rPr>
          <w:rFonts w:ascii="Arial" w:hAnsi="Arial" w:cs="Arial"/>
          <w:i/>
          <w:iCs/>
          <w:sz w:val="22"/>
          <w:szCs w:val="22"/>
        </w:rPr>
        <w:t>clean</w:t>
      </w:r>
      <w:r w:rsidRPr="0036737B">
        <w:rPr>
          <w:rFonts w:ascii="Arial" w:hAnsi="Arial" w:cs="Arial"/>
          <w:sz w:val="22"/>
          <w:szCs w:val="22"/>
        </w:rPr>
        <w:t xml:space="preserve"> represents the mean irradiance sampled once per minute for 20 minutes immediately after cleaning. The effects of biofouling on irradiance were assessed by comparing mean dirty and mean clean irradiance using a student’s t-test with α</w:t>
      </w:r>
      <w:r w:rsidR="00111998" w:rsidRPr="0036737B">
        <w:rPr>
          <w:rFonts w:ascii="Arial" w:hAnsi="Arial" w:cs="Arial"/>
          <w:sz w:val="22"/>
          <w:szCs w:val="22"/>
        </w:rPr>
        <w:t xml:space="preserve"> </w:t>
      </w:r>
      <w:r w:rsidRPr="0036737B">
        <w:rPr>
          <w:rFonts w:ascii="Arial" w:hAnsi="Arial" w:cs="Arial"/>
          <w:sz w:val="22"/>
          <w:szCs w:val="22"/>
        </w:rPr>
        <w:t xml:space="preserve">= 0.05. Irradiance values from significantly fouled sensors were corrected on each day of the deployment using the equation: </w:t>
      </w:r>
    </w:p>
    <w:p w14:paraId="475F1ED3" w14:textId="7E197D45" w:rsidR="00515F22" w:rsidRPr="0036737B" w:rsidRDefault="00515F22" w:rsidP="0036737B">
      <w:pPr>
        <w:spacing w:line="360" w:lineRule="auto"/>
        <w:rPr>
          <w:rFonts w:ascii="Arial" w:eastAsiaTheme="minorEastAsia" w:hAnsi="Arial" w:cs="Arial"/>
          <w:sz w:val="22"/>
          <w:szCs w:val="22"/>
        </w:rPr>
      </w:pPr>
      <m:oMathPara>
        <m:oMath>
          <m:r>
            <w:rPr>
              <w:rFonts w:ascii="Cambria Math" w:hAnsi="Cambria Math" w:cs="Arial"/>
              <w:sz w:val="22"/>
              <w:szCs w:val="22"/>
            </w:rPr>
            <m:t>Corrected irradiance=Measured irradiance*</m:t>
          </m:r>
          <m:func>
            <m:funcPr>
              <m:ctrlPr>
                <w:rPr>
                  <w:rFonts w:ascii="Cambria Math" w:hAnsi="Cambria Math" w:cs="Arial"/>
                  <w:i/>
                  <w:sz w:val="22"/>
                  <w:szCs w:val="22"/>
                </w:rPr>
              </m:ctrlPr>
            </m:funcPr>
            <m:fName>
              <m:r>
                <m:rPr>
                  <m:sty m:val="p"/>
                </m:rPr>
                <w:rPr>
                  <w:rFonts w:ascii="Cambria Math" w:hAnsi="Cambria Math" w:cs="Arial"/>
                  <w:sz w:val="22"/>
                  <w:szCs w:val="22"/>
                </w:rPr>
                <m:t>exp</m:t>
              </m:r>
            </m:fName>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a</m:t>
                      </m:r>
                    </m:num>
                    <m:den>
                      <m:nary>
                        <m:naryPr>
                          <m:chr m:val="∑"/>
                          <m:limLoc m:val="undOvr"/>
                          <m:subHide m:val="1"/>
                          <m:supHide m:val="1"/>
                          <m:ctrlPr>
                            <w:rPr>
                              <w:rFonts w:ascii="Cambria Math" w:hAnsi="Cambria Math" w:cs="Arial"/>
                              <w:i/>
                              <w:sz w:val="22"/>
                              <w:szCs w:val="22"/>
                            </w:rPr>
                          </m:ctrlPr>
                        </m:naryPr>
                        <m:sub/>
                        <m:sup/>
                        <m:e>
                          <m:r>
                            <w:rPr>
                              <w:rFonts w:ascii="Cambria Math" w:hAnsi="Cambria Math" w:cs="Arial"/>
                              <w:sz w:val="22"/>
                              <w:szCs w:val="22"/>
                            </w:rPr>
                            <m:t>d</m:t>
                          </m:r>
                        </m:e>
                      </m:nary>
                    </m:den>
                  </m:f>
                </m:e>
              </m:d>
            </m:e>
          </m:func>
          <m:r>
            <w:rPr>
              <w:rFonts w:ascii="Cambria Math" w:hAnsi="Cambria Math" w:cs="Arial"/>
              <w:sz w:val="22"/>
              <w:szCs w:val="22"/>
            </w:rPr>
            <m:t>*t</m:t>
          </m:r>
        </m:oMath>
      </m:oMathPara>
    </w:p>
    <w:p w14:paraId="32E7CB5C" w14:textId="77777777" w:rsidR="00111998" w:rsidRPr="0036737B" w:rsidRDefault="00111998" w:rsidP="0036737B">
      <w:pPr>
        <w:spacing w:line="360" w:lineRule="auto"/>
        <w:rPr>
          <w:rFonts w:ascii="Arial" w:hAnsi="Arial" w:cs="Arial"/>
          <w:sz w:val="22"/>
          <w:szCs w:val="22"/>
        </w:rPr>
      </w:pPr>
    </w:p>
    <w:p w14:paraId="272E6D54" w14:textId="77777777"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t xml:space="preserve">Here, </w:t>
      </w:r>
      <w:r w:rsidRPr="0036737B">
        <w:rPr>
          <w:rFonts w:ascii="Arial" w:hAnsi="Arial" w:cs="Arial"/>
          <w:i/>
          <w:iCs/>
          <w:sz w:val="22"/>
          <w:szCs w:val="22"/>
        </w:rPr>
        <w:t xml:space="preserve">a </w:t>
      </w:r>
      <w:r w:rsidRPr="0036737B">
        <w:rPr>
          <w:rFonts w:ascii="Arial" w:hAnsi="Arial" w:cs="Arial"/>
          <w:sz w:val="22"/>
          <w:szCs w:val="22"/>
        </w:rPr>
        <w:t xml:space="preserve">represents attenuation due to fouling as described above, </w:t>
      </w:r>
      <w:r w:rsidRPr="0036737B">
        <w:rPr>
          <w:rFonts w:ascii="Arial" w:hAnsi="Arial" w:cs="Arial"/>
          <w:i/>
          <w:iCs/>
          <w:sz w:val="22"/>
          <w:szCs w:val="22"/>
        </w:rPr>
        <w:t>d</w:t>
      </w:r>
      <w:r w:rsidRPr="0036737B">
        <w:rPr>
          <w:rFonts w:ascii="Arial" w:hAnsi="Arial" w:cs="Arial"/>
          <w:sz w:val="22"/>
          <w:szCs w:val="22"/>
        </w:rPr>
        <w:t xml:space="preserve"> represent the total number of days since deployment (over which we assume the fouling accumulated), and </w:t>
      </w:r>
      <w:r w:rsidRPr="0036737B">
        <w:rPr>
          <w:rFonts w:ascii="Arial" w:hAnsi="Arial" w:cs="Arial"/>
          <w:i/>
          <w:iCs/>
          <w:sz w:val="22"/>
          <w:szCs w:val="22"/>
        </w:rPr>
        <w:t>t</w:t>
      </w:r>
      <w:r w:rsidRPr="0036737B">
        <w:rPr>
          <w:rFonts w:ascii="Arial" w:hAnsi="Arial" w:cs="Arial"/>
          <w:sz w:val="22"/>
          <w:szCs w:val="22"/>
        </w:rPr>
        <w:t xml:space="preserve"> represents the number of days that have passed since deployment for the set of values being corrected (</w:t>
      </w:r>
      <w:proofErr w:type="spellStart"/>
      <w:r w:rsidRPr="0036737B">
        <w:rPr>
          <w:rFonts w:ascii="Arial" w:hAnsi="Arial" w:cs="Arial"/>
          <w:sz w:val="22"/>
          <w:szCs w:val="22"/>
        </w:rPr>
        <w:t>Harrer</w:t>
      </w:r>
      <w:proofErr w:type="spellEnd"/>
      <w:r w:rsidRPr="0036737B">
        <w:rPr>
          <w:rFonts w:ascii="Arial" w:hAnsi="Arial" w:cs="Arial"/>
          <w:sz w:val="22"/>
          <w:szCs w:val="22"/>
        </w:rPr>
        <w:t xml:space="preserve"> et al. 2013). </w:t>
      </w:r>
    </w:p>
    <w:p w14:paraId="3B24FFD7" w14:textId="77777777" w:rsidR="00515F22" w:rsidRPr="0036737B" w:rsidRDefault="00515F22" w:rsidP="0036737B">
      <w:pPr>
        <w:spacing w:line="360" w:lineRule="auto"/>
        <w:rPr>
          <w:rFonts w:ascii="Arial" w:hAnsi="Arial" w:cs="Arial"/>
          <w:sz w:val="22"/>
          <w:szCs w:val="22"/>
        </w:rPr>
      </w:pPr>
    </w:p>
    <w:p w14:paraId="1577AA28" w14:textId="77777777" w:rsidR="00515F22" w:rsidRPr="0036737B" w:rsidRDefault="00515F22" w:rsidP="0036737B">
      <w:pPr>
        <w:spacing w:after="120" w:line="360" w:lineRule="auto"/>
        <w:rPr>
          <w:rFonts w:ascii="Arial" w:hAnsi="Arial" w:cs="Arial"/>
          <w:sz w:val="22"/>
          <w:szCs w:val="22"/>
        </w:rPr>
      </w:pPr>
      <w:r w:rsidRPr="0036737B">
        <w:rPr>
          <w:rFonts w:ascii="Arial" w:hAnsi="Arial" w:cs="Arial"/>
          <w:sz w:val="22"/>
          <w:szCs w:val="22"/>
        </w:rPr>
        <w:t xml:space="preserve">Discontinuation of the MKV-L spherical sensors led us to switch to the DEFI-L planar sensors, which record lower values of seafloor irradiance (particularly at low light levels) because they measure light over a narrower optical field.  We used data collected during simultaneous deployments of paired MKV-L and DEFI –L sensors to develop algorithms to convert all values recorded from planar sensors to values representative of spherical sensors by curve fitting for the parameters </w:t>
      </w:r>
      <w:r w:rsidRPr="0036737B">
        <w:rPr>
          <w:rFonts w:ascii="Arial" w:hAnsi="Arial" w:cs="Arial"/>
          <w:i/>
          <w:sz w:val="22"/>
          <w:szCs w:val="22"/>
        </w:rPr>
        <w:t>A</w:t>
      </w:r>
      <w:r w:rsidRPr="0036737B">
        <w:rPr>
          <w:rFonts w:ascii="Arial" w:hAnsi="Arial" w:cs="Arial"/>
          <w:sz w:val="22"/>
          <w:szCs w:val="22"/>
        </w:rPr>
        <w:t xml:space="preserve">, </w:t>
      </w:r>
      <w:r w:rsidRPr="0036737B">
        <w:rPr>
          <w:rFonts w:ascii="Arial" w:hAnsi="Arial" w:cs="Arial"/>
          <w:i/>
          <w:sz w:val="22"/>
          <w:szCs w:val="22"/>
        </w:rPr>
        <w:t>t</w:t>
      </w:r>
      <w:r w:rsidRPr="0036737B">
        <w:rPr>
          <w:rFonts w:ascii="Arial" w:hAnsi="Arial" w:cs="Arial"/>
          <w:sz w:val="22"/>
          <w:szCs w:val="22"/>
        </w:rPr>
        <w:t xml:space="preserve">1 and </w:t>
      </w:r>
      <w:r w:rsidRPr="0036737B">
        <w:rPr>
          <w:rFonts w:ascii="Arial" w:hAnsi="Arial" w:cs="Arial"/>
          <w:i/>
          <w:sz w:val="22"/>
          <w:szCs w:val="22"/>
        </w:rPr>
        <w:t>y</w:t>
      </w:r>
      <w:r w:rsidRPr="0036737B">
        <w:rPr>
          <w:rFonts w:ascii="Arial" w:hAnsi="Arial" w:cs="Arial"/>
          <w:sz w:val="22"/>
          <w:szCs w:val="22"/>
        </w:rPr>
        <w:t xml:space="preserve"> in the equation of Long et al. 2012:</w:t>
      </w:r>
    </w:p>
    <w:p w14:paraId="2AC78C36" w14:textId="017155AD" w:rsidR="00515F22" w:rsidRPr="0036737B" w:rsidRDefault="00515F22" w:rsidP="0036737B">
      <w:pPr>
        <w:spacing w:line="360" w:lineRule="auto"/>
        <w:rPr>
          <w:rFonts w:ascii="Arial" w:eastAsiaTheme="minorEastAsia" w:hAnsi="Arial" w:cs="Arial"/>
          <w:sz w:val="22"/>
          <w:szCs w:val="22"/>
        </w:rPr>
      </w:pPr>
      <m:oMathPara>
        <m:oMath>
          <m:r>
            <w:rPr>
              <w:rFonts w:ascii="Cambria Math" w:hAnsi="Cambria Math" w:cs="Arial"/>
              <w:sz w:val="22"/>
              <w:szCs w:val="22"/>
            </w:rPr>
            <m:t>Spherical sensor value=A*</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-planar sensor value/t1</m:t>
              </m:r>
            </m:sup>
          </m:sSup>
          <m:r>
            <w:rPr>
              <w:rFonts w:ascii="Cambria Math" w:hAnsi="Cambria Math" w:cs="Arial"/>
              <w:sz w:val="22"/>
              <w:szCs w:val="22"/>
            </w:rPr>
            <m:t>+y</m:t>
          </m:r>
        </m:oMath>
      </m:oMathPara>
    </w:p>
    <w:p w14:paraId="73F08BBC" w14:textId="77777777" w:rsidR="00111998" w:rsidRPr="0036737B" w:rsidRDefault="00111998" w:rsidP="0036737B">
      <w:pPr>
        <w:spacing w:line="360" w:lineRule="auto"/>
        <w:rPr>
          <w:rFonts w:ascii="Arial" w:hAnsi="Arial" w:cs="Arial"/>
          <w:sz w:val="22"/>
          <w:szCs w:val="22"/>
        </w:rPr>
      </w:pPr>
    </w:p>
    <w:p w14:paraId="445AB8A0" w14:textId="77777777" w:rsidR="00515F22" w:rsidRPr="0036737B" w:rsidRDefault="00515F22" w:rsidP="0036737B">
      <w:pPr>
        <w:spacing w:line="360" w:lineRule="auto"/>
        <w:rPr>
          <w:rFonts w:ascii="Arial" w:hAnsi="Arial" w:cs="Arial"/>
          <w:iCs/>
          <w:sz w:val="22"/>
          <w:szCs w:val="22"/>
        </w:rPr>
      </w:pPr>
      <w:r w:rsidRPr="0036737B">
        <w:rPr>
          <w:rFonts w:ascii="Arial" w:hAnsi="Arial" w:cs="Arial"/>
          <w:iCs/>
          <w:sz w:val="22"/>
          <w:szCs w:val="22"/>
        </w:rPr>
        <w:t>Conversions from planar to spherical values were applied to all data collected between 06:00 and 20:00 local time using the fit equation:</w:t>
      </w:r>
    </w:p>
    <w:p w14:paraId="6769B720" w14:textId="77777777" w:rsidR="00515F22" w:rsidRPr="0036737B" w:rsidRDefault="00515F22" w:rsidP="0036737B">
      <w:pPr>
        <w:spacing w:line="360" w:lineRule="auto"/>
        <w:rPr>
          <w:rFonts w:ascii="Arial" w:hAnsi="Arial" w:cs="Arial"/>
          <w:iCs/>
          <w:sz w:val="22"/>
          <w:szCs w:val="22"/>
        </w:rPr>
      </w:pPr>
    </w:p>
    <w:p w14:paraId="5DA34122" w14:textId="6E2DACD9" w:rsidR="00515F22" w:rsidRPr="0036737B" w:rsidRDefault="00515F22" w:rsidP="0036737B">
      <w:pPr>
        <w:spacing w:line="360" w:lineRule="auto"/>
        <w:rPr>
          <w:rFonts w:ascii="Arial" w:eastAsiaTheme="minorEastAsia" w:hAnsi="Arial" w:cs="Arial"/>
          <w:sz w:val="22"/>
          <w:szCs w:val="22"/>
        </w:rPr>
      </w:pPr>
      <m:oMathPara>
        <m:oMath>
          <m:r>
            <w:rPr>
              <w:rFonts w:ascii="Cambria Math" w:hAnsi="Cambria Math" w:cs="Arial"/>
              <w:sz w:val="22"/>
              <w:szCs w:val="22"/>
            </w:rPr>
            <m:t>Spherical sensor value=20000018*</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-planar sensor</m:t>
              </m:r>
              <m:f>
                <m:fPr>
                  <m:ctrlPr>
                    <w:rPr>
                      <w:rFonts w:ascii="Cambria Math" w:hAnsi="Cambria Math" w:cs="Arial"/>
                      <w:i/>
                      <w:sz w:val="22"/>
                      <w:szCs w:val="22"/>
                    </w:rPr>
                  </m:ctrlPr>
                </m:fPr>
                <m:num>
                  <m:r>
                    <w:rPr>
                      <w:rFonts w:ascii="Cambria Math" w:hAnsi="Cambria Math" w:cs="Arial"/>
                      <w:sz w:val="22"/>
                      <w:szCs w:val="22"/>
                    </w:rPr>
                    <m:t>value</m:t>
                  </m:r>
                </m:num>
                <m:den>
                  <m:r>
                    <w:rPr>
                      <w:rFonts w:ascii="Cambria Math" w:hAnsi="Cambria Math" w:cs="Arial"/>
                      <w:sz w:val="22"/>
                      <w:szCs w:val="22"/>
                    </w:rPr>
                    <m:t>11064484</m:t>
                  </m:r>
                </m:den>
              </m:f>
            </m:sup>
          </m:sSup>
          <m:r>
            <w:rPr>
              <w:rFonts w:ascii="Cambria Math" w:hAnsi="Cambria Math" w:cs="Arial"/>
              <w:sz w:val="22"/>
              <w:szCs w:val="22"/>
            </w:rPr>
            <m:t>-20000000</m:t>
          </m:r>
        </m:oMath>
      </m:oMathPara>
    </w:p>
    <w:p w14:paraId="694CE875" w14:textId="77777777" w:rsidR="00111998" w:rsidRPr="0036737B" w:rsidRDefault="00111998" w:rsidP="0036737B">
      <w:pPr>
        <w:spacing w:line="360" w:lineRule="auto"/>
        <w:rPr>
          <w:rFonts w:ascii="Arial" w:hAnsi="Arial" w:cs="Arial"/>
          <w:sz w:val="22"/>
          <w:szCs w:val="22"/>
        </w:rPr>
      </w:pPr>
    </w:p>
    <w:p w14:paraId="059035AD" w14:textId="77777777" w:rsidR="00111998" w:rsidRPr="0036737B" w:rsidRDefault="00111998" w:rsidP="0036737B">
      <w:pPr>
        <w:spacing w:line="360" w:lineRule="auto"/>
        <w:rPr>
          <w:rFonts w:ascii="Arial" w:hAnsi="Arial" w:cs="Arial"/>
          <w:i/>
          <w:sz w:val="22"/>
          <w:szCs w:val="22"/>
        </w:rPr>
      </w:pPr>
    </w:p>
    <w:p w14:paraId="5B068E84" w14:textId="467EB26F" w:rsidR="00515F22" w:rsidRPr="0036737B" w:rsidRDefault="00515F22" w:rsidP="0036737B">
      <w:pPr>
        <w:spacing w:line="360" w:lineRule="auto"/>
        <w:rPr>
          <w:rFonts w:ascii="Arial" w:hAnsi="Arial" w:cs="Arial"/>
          <w:b/>
          <w:bCs/>
          <w:sz w:val="22"/>
          <w:szCs w:val="22"/>
        </w:rPr>
      </w:pPr>
      <w:r w:rsidRPr="0036737B">
        <w:rPr>
          <w:rFonts w:ascii="Arial" w:hAnsi="Arial" w:cs="Arial"/>
          <w:b/>
          <w:bCs/>
          <w:sz w:val="22"/>
          <w:szCs w:val="22"/>
        </w:rPr>
        <w:t>Measurements of sea surface irradiance</w:t>
      </w:r>
    </w:p>
    <w:p w14:paraId="25963DA3" w14:textId="0867F02A" w:rsidR="00515F22" w:rsidRPr="0036737B" w:rsidRDefault="00515F22" w:rsidP="0036737B">
      <w:pPr>
        <w:spacing w:line="360" w:lineRule="auto"/>
        <w:rPr>
          <w:rFonts w:ascii="Arial" w:hAnsi="Arial" w:cs="Arial"/>
          <w:sz w:val="22"/>
          <w:szCs w:val="22"/>
        </w:rPr>
      </w:pPr>
      <w:r w:rsidRPr="0036737B">
        <w:rPr>
          <w:rFonts w:ascii="Arial" w:hAnsi="Arial" w:cs="Arial"/>
          <w:sz w:val="22"/>
          <w:szCs w:val="22"/>
        </w:rPr>
        <w:lastRenderedPageBreak/>
        <w:t xml:space="preserve">From 2008-2015, irradiance was measured from MKV-Land DEFI-L sensors mounted ~30 to 100 cm above the sea surface on a moored vertical spar buoy at three reefs (Arroyo Quemado, Carpinteria and Mohawk). The sensors were calibrated for readings in air by the manufacturer. The time series obtained from these sensors proved difficult to maintain due to sensor damage and loss caused by storms and boat traffic. Because of this and the fact that sea surface irradiance was highly similar among reefs (unpublished data) a single surface sensor was deployed on an unobstructed rooftop at the University of California Santa Barbara beginning in 2016.  Sea surface values were not adjusted for biofouling because it did not occur. Similarly, there was no need to convert values of sea surface irradiance obtained from planar sensor to values representative of spherical sensors because irradiance values recorded by the two types of sensors at the sea surface were nearly identical. </w:t>
      </w:r>
    </w:p>
    <w:p w14:paraId="16752538" w14:textId="77777777" w:rsidR="00111998" w:rsidRPr="0036737B" w:rsidRDefault="00111998" w:rsidP="0036737B">
      <w:pPr>
        <w:spacing w:line="360" w:lineRule="auto"/>
        <w:rPr>
          <w:rFonts w:ascii="Arial" w:hAnsi="Arial" w:cs="Arial"/>
          <w:sz w:val="22"/>
          <w:szCs w:val="22"/>
        </w:rPr>
      </w:pPr>
    </w:p>
    <w:p w14:paraId="0FC76E55" w14:textId="77777777" w:rsidR="00515F22" w:rsidRPr="0036737B" w:rsidRDefault="00515F22" w:rsidP="0036737B">
      <w:pPr>
        <w:spacing w:line="360" w:lineRule="auto"/>
        <w:rPr>
          <w:rFonts w:ascii="Arial" w:hAnsi="Arial" w:cs="Arial"/>
          <w:sz w:val="22"/>
          <w:szCs w:val="22"/>
        </w:rPr>
      </w:pPr>
    </w:p>
    <w:p w14:paraId="70E07DBB" w14:textId="77777777" w:rsidR="00515F22" w:rsidRPr="0036737B" w:rsidRDefault="00515F22" w:rsidP="0036737B">
      <w:pPr>
        <w:spacing w:line="360" w:lineRule="auto"/>
        <w:rPr>
          <w:rFonts w:ascii="Arial" w:hAnsi="Arial" w:cs="Arial"/>
          <w:b/>
          <w:bCs/>
          <w:sz w:val="22"/>
          <w:szCs w:val="22"/>
        </w:rPr>
      </w:pPr>
      <w:r w:rsidRPr="0036737B">
        <w:rPr>
          <w:rFonts w:ascii="Arial" w:hAnsi="Arial" w:cs="Arial"/>
          <w:b/>
          <w:bCs/>
          <w:sz w:val="22"/>
          <w:szCs w:val="22"/>
        </w:rPr>
        <w:t>References</w:t>
      </w:r>
    </w:p>
    <w:p w14:paraId="6F445A61" w14:textId="77777777" w:rsidR="00515F22" w:rsidRPr="0036737B" w:rsidRDefault="00515F22" w:rsidP="0036737B">
      <w:pPr>
        <w:spacing w:line="360" w:lineRule="auto"/>
        <w:ind w:firstLine="360"/>
        <w:rPr>
          <w:rFonts w:ascii="Arial" w:hAnsi="Arial" w:cs="Arial"/>
          <w:sz w:val="22"/>
          <w:szCs w:val="22"/>
        </w:rPr>
      </w:pPr>
      <w:proofErr w:type="spellStart"/>
      <w:r w:rsidRPr="0036737B">
        <w:rPr>
          <w:rFonts w:ascii="Arial" w:hAnsi="Arial" w:cs="Arial"/>
          <w:sz w:val="22"/>
          <w:szCs w:val="22"/>
        </w:rPr>
        <w:t>Castorani</w:t>
      </w:r>
      <w:proofErr w:type="spellEnd"/>
      <w:r w:rsidRPr="0036737B">
        <w:rPr>
          <w:rFonts w:ascii="Arial" w:hAnsi="Arial" w:cs="Arial"/>
          <w:sz w:val="22"/>
          <w:szCs w:val="22"/>
        </w:rPr>
        <w:t>, M. C. N., D. C. Reed and R. J. Miller. 2018. Loss of foundation species: disturbance frequency outweighs severity in structuring kelp forest communities. Ecology, 99: 2442-2455</w:t>
      </w:r>
    </w:p>
    <w:p w14:paraId="2C4C275D" w14:textId="77777777" w:rsidR="00515F22" w:rsidRPr="0036737B" w:rsidRDefault="00515F22" w:rsidP="0036737B">
      <w:pPr>
        <w:spacing w:line="360" w:lineRule="auto"/>
        <w:ind w:firstLine="360"/>
        <w:rPr>
          <w:rFonts w:ascii="Arial" w:hAnsi="Arial" w:cs="Arial"/>
          <w:sz w:val="22"/>
          <w:szCs w:val="22"/>
        </w:rPr>
      </w:pPr>
    </w:p>
    <w:p w14:paraId="008ED276" w14:textId="77777777" w:rsidR="00515F22" w:rsidRPr="0036737B" w:rsidRDefault="00515F22" w:rsidP="0036737B">
      <w:pPr>
        <w:spacing w:line="360" w:lineRule="auto"/>
        <w:ind w:firstLine="360"/>
        <w:rPr>
          <w:rFonts w:ascii="Arial" w:hAnsi="Arial" w:cs="Arial"/>
          <w:sz w:val="22"/>
          <w:szCs w:val="22"/>
        </w:rPr>
      </w:pPr>
      <w:proofErr w:type="spellStart"/>
      <w:r w:rsidRPr="0036737B">
        <w:rPr>
          <w:rFonts w:ascii="Arial" w:hAnsi="Arial" w:cs="Arial"/>
          <w:sz w:val="22"/>
          <w:szCs w:val="22"/>
        </w:rPr>
        <w:t>Harrer</w:t>
      </w:r>
      <w:proofErr w:type="spellEnd"/>
      <w:r w:rsidRPr="0036737B">
        <w:rPr>
          <w:rFonts w:ascii="Arial" w:hAnsi="Arial" w:cs="Arial"/>
          <w:sz w:val="22"/>
          <w:szCs w:val="22"/>
        </w:rPr>
        <w:t>, S. L., D. C. Reed, R. J. Miller and S. J. Holbrook. 2013. Patterns and controls of the dynamics of net primary production by understory macroalgal assemblages in giant kelp forests. Journal of Phycology, 49: 248-257</w:t>
      </w:r>
    </w:p>
    <w:p w14:paraId="022CAAC6" w14:textId="77777777" w:rsidR="00515F22" w:rsidRPr="0036737B" w:rsidRDefault="00515F22" w:rsidP="0036737B">
      <w:pPr>
        <w:spacing w:line="360" w:lineRule="auto"/>
        <w:ind w:firstLine="360"/>
        <w:rPr>
          <w:rFonts w:ascii="Arial" w:hAnsi="Arial" w:cs="Arial"/>
          <w:sz w:val="22"/>
          <w:szCs w:val="22"/>
        </w:rPr>
      </w:pPr>
    </w:p>
    <w:p w14:paraId="06A0205D" w14:textId="77777777" w:rsidR="00515F22" w:rsidRPr="0036737B" w:rsidRDefault="00515F22" w:rsidP="0036737B">
      <w:pPr>
        <w:spacing w:line="360" w:lineRule="auto"/>
        <w:ind w:firstLine="360"/>
        <w:rPr>
          <w:rFonts w:ascii="Arial" w:hAnsi="Arial" w:cs="Arial"/>
          <w:sz w:val="22"/>
          <w:szCs w:val="22"/>
        </w:rPr>
      </w:pPr>
      <w:r w:rsidRPr="0036737B">
        <w:rPr>
          <w:rFonts w:ascii="Arial" w:hAnsi="Arial" w:cs="Arial"/>
          <w:sz w:val="22"/>
          <w:szCs w:val="22"/>
        </w:rPr>
        <w:t xml:space="preserve">Long, M. H., J. E. </w:t>
      </w:r>
      <w:proofErr w:type="spellStart"/>
      <w:r w:rsidRPr="0036737B">
        <w:rPr>
          <w:rFonts w:ascii="Arial" w:hAnsi="Arial" w:cs="Arial"/>
          <w:sz w:val="22"/>
          <w:szCs w:val="22"/>
        </w:rPr>
        <w:t>Rheuban</w:t>
      </w:r>
      <w:proofErr w:type="spellEnd"/>
      <w:r w:rsidRPr="0036737B">
        <w:rPr>
          <w:rFonts w:ascii="Arial" w:hAnsi="Arial" w:cs="Arial"/>
          <w:sz w:val="22"/>
          <w:szCs w:val="22"/>
        </w:rPr>
        <w:t xml:space="preserve">, P. Berg, J. C. </w:t>
      </w:r>
      <w:proofErr w:type="spellStart"/>
      <w:r w:rsidRPr="0036737B">
        <w:rPr>
          <w:rFonts w:ascii="Arial" w:hAnsi="Arial" w:cs="Arial"/>
          <w:sz w:val="22"/>
          <w:szCs w:val="22"/>
        </w:rPr>
        <w:t>Zieman</w:t>
      </w:r>
      <w:proofErr w:type="spellEnd"/>
      <w:r w:rsidRPr="0036737B">
        <w:rPr>
          <w:rFonts w:ascii="Arial" w:hAnsi="Arial" w:cs="Arial"/>
          <w:sz w:val="22"/>
          <w:szCs w:val="22"/>
        </w:rPr>
        <w:t>. 2012. A comparison and correction of light intensity loggers to photosynthetically active radiation sensors. Limnology and Oceanography, 10: 416 – 424</w:t>
      </w:r>
    </w:p>
    <w:p w14:paraId="480631C3" w14:textId="77777777" w:rsidR="00515F22" w:rsidRPr="0036737B" w:rsidRDefault="00515F22" w:rsidP="0036737B">
      <w:pPr>
        <w:spacing w:line="360" w:lineRule="auto"/>
        <w:ind w:firstLine="360"/>
        <w:rPr>
          <w:rFonts w:ascii="Arial" w:hAnsi="Arial" w:cs="Arial"/>
          <w:sz w:val="22"/>
          <w:szCs w:val="22"/>
        </w:rPr>
      </w:pPr>
    </w:p>
    <w:p w14:paraId="30AFEA38" w14:textId="77777777" w:rsidR="00515F22" w:rsidRPr="0036737B" w:rsidRDefault="00515F22" w:rsidP="0036737B">
      <w:pPr>
        <w:spacing w:line="360" w:lineRule="auto"/>
        <w:ind w:firstLine="360"/>
        <w:rPr>
          <w:rFonts w:ascii="Arial" w:hAnsi="Arial" w:cs="Arial"/>
          <w:sz w:val="22"/>
          <w:szCs w:val="22"/>
        </w:rPr>
      </w:pPr>
      <w:r w:rsidRPr="0036737B">
        <w:rPr>
          <w:rFonts w:ascii="Arial" w:hAnsi="Arial" w:cs="Arial"/>
          <w:sz w:val="22"/>
          <w:szCs w:val="22"/>
        </w:rPr>
        <w:t xml:space="preserve">Miller, R. J., S. </w:t>
      </w:r>
      <w:proofErr w:type="spellStart"/>
      <w:r w:rsidRPr="0036737B">
        <w:rPr>
          <w:rFonts w:ascii="Arial" w:hAnsi="Arial" w:cs="Arial"/>
          <w:sz w:val="22"/>
          <w:szCs w:val="22"/>
        </w:rPr>
        <w:t>Harrer</w:t>
      </w:r>
      <w:proofErr w:type="spellEnd"/>
      <w:r w:rsidRPr="0036737B">
        <w:rPr>
          <w:rFonts w:ascii="Arial" w:hAnsi="Arial" w:cs="Arial"/>
          <w:sz w:val="22"/>
          <w:szCs w:val="22"/>
        </w:rPr>
        <w:t xml:space="preserve"> and D. C. Reed. 2012. Addition of species abundance and performance predicts community primary production of macroalgae. </w:t>
      </w:r>
      <w:proofErr w:type="spellStart"/>
      <w:r w:rsidRPr="0036737B">
        <w:rPr>
          <w:rFonts w:ascii="Arial" w:hAnsi="Arial" w:cs="Arial"/>
          <w:sz w:val="22"/>
          <w:szCs w:val="22"/>
        </w:rPr>
        <w:t>Oecologia</w:t>
      </w:r>
      <w:proofErr w:type="spellEnd"/>
      <w:r w:rsidRPr="0036737B">
        <w:rPr>
          <w:rFonts w:ascii="Arial" w:hAnsi="Arial" w:cs="Arial"/>
          <w:sz w:val="22"/>
          <w:szCs w:val="22"/>
        </w:rPr>
        <w:t>, 168: 797-806</w:t>
      </w:r>
    </w:p>
    <w:p w14:paraId="67B921AF" w14:textId="77777777" w:rsidR="00515F22" w:rsidRPr="0036737B" w:rsidRDefault="00515F22" w:rsidP="0036737B">
      <w:pPr>
        <w:spacing w:line="360" w:lineRule="auto"/>
        <w:ind w:firstLine="360"/>
        <w:rPr>
          <w:rFonts w:ascii="Arial" w:hAnsi="Arial" w:cs="Arial"/>
          <w:sz w:val="22"/>
          <w:szCs w:val="22"/>
        </w:rPr>
      </w:pPr>
    </w:p>
    <w:p w14:paraId="444E3162" w14:textId="77777777" w:rsidR="00515F22" w:rsidRPr="0036737B" w:rsidRDefault="00515F22" w:rsidP="0036737B">
      <w:pPr>
        <w:spacing w:line="360" w:lineRule="auto"/>
        <w:ind w:firstLine="360"/>
        <w:rPr>
          <w:rFonts w:ascii="Arial" w:hAnsi="Arial" w:cs="Arial"/>
          <w:sz w:val="22"/>
          <w:szCs w:val="22"/>
        </w:rPr>
      </w:pPr>
      <w:proofErr w:type="spellStart"/>
      <w:r w:rsidRPr="0036737B">
        <w:rPr>
          <w:rFonts w:ascii="Arial" w:hAnsi="Arial" w:cs="Arial"/>
          <w:sz w:val="22"/>
          <w:szCs w:val="22"/>
        </w:rPr>
        <w:t>Rassweiler</w:t>
      </w:r>
      <w:proofErr w:type="spellEnd"/>
      <w:r w:rsidRPr="0036737B">
        <w:rPr>
          <w:rFonts w:ascii="Arial" w:hAnsi="Arial" w:cs="Arial"/>
          <w:sz w:val="22"/>
          <w:szCs w:val="22"/>
        </w:rPr>
        <w:t xml:space="preserve">, A., D. C. Reed, S. L. </w:t>
      </w:r>
      <w:proofErr w:type="spellStart"/>
      <w:r w:rsidRPr="0036737B">
        <w:rPr>
          <w:rFonts w:ascii="Arial" w:hAnsi="Arial" w:cs="Arial"/>
          <w:sz w:val="22"/>
          <w:szCs w:val="22"/>
        </w:rPr>
        <w:t>Harrer</w:t>
      </w:r>
      <w:proofErr w:type="spellEnd"/>
      <w:r w:rsidRPr="0036737B">
        <w:rPr>
          <w:rFonts w:ascii="Arial" w:hAnsi="Arial" w:cs="Arial"/>
          <w:sz w:val="22"/>
          <w:szCs w:val="22"/>
        </w:rPr>
        <w:t xml:space="preserve"> and J. Clint Nelson. 2018. Improved estimates of net primary production, growth, and standing crop of </w:t>
      </w:r>
      <w:proofErr w:type="spellStart"/>
      <w:r w:rsidRPr="0036737B">
        <w:rPr>
          <w:rFonts w:ascii="Arial" w:hAnsi="Arial" w:cs="Arial"/>
          <w:sz w:val="22"/>
          <w:szCs w:val="22"/>
        </w:rPr>
        <w:t>Macrocystis</w:t>
      </w:r>
      <w:proofErr w:type="spellEnd"/>
      <w:r w:rsidRPr="0036737B">
        <w:rPr>
          <w:rFonts w:ascii="Arial" w:hAnsi="Arial" w:cs="Arial"/>
          <w:sz w:val="22"/>
          <w:szCs w:val="22"/>
        </w:rPr>
        <w:t xml:space="preserve"> </w:t>
      </w:r>
      <w:proofErr w:type="spellStart"/>
      <w:r w:rsidRPr="0036737B">
        <w:rPr>
          <w:rFonts w:ascii="Arial" w:hAnsi="Arial" w:cs="Arial"/>
          <w:sz w:val="22"/>
          <w:szCs w:val="22"/>
        </w:rPr>
        <w:t>pyrifera</w:t>
      </w:r>
      <w:proofErr w:type="spellEnd"/>
      <w:r w:rsidRPr="0036737B">
        <w:rPr>
          <w:rFonts w:ascii="Arial" w:hAnsi="Arial" w:cs="Arial"/>
          <w:sz w:val="22"/>
          <w:szCs w:val="22"/>
        </w:rPr>
        <w:t xml:space="preserve"> in Southern California. Ecology, 99: 2132</w:t>
      </w:r>
    </w:p>
    <w:p w14:paraId="06C94B48" w14:textId="77777777" w:rsidR="00515F22" w:rsidRPr="0036737B" w:rsidRDefault="00515F22" w:rsidP="0036737B">
      <w:pPr>
        <w:spacing w:line="360" w:lineRule="auto"/>
        <w:ind w:firstLine="360"/>
        <w:rPr>
          <w:rFonts w:ascii="Arial" w:hAnsi="Arial" w:cs="Arial"/>
          <w:sz w:val="22"/>
          <w:szCs w:val="22"/>
        </w:rPr>
      </w:pPr>
    </w:p>
    <w:p w14:paraId="7359B1FD" w14:textId="77777777" w:rsidR="00515F22" w:rsidRPr="0036737B" w:rsidRDefault="00515F22" w:rsidP="0036737B">
      <w:pPr>
        <w:spacing w:line="360" w:lineRule="auto"/>
        <w:ind w:firstLine="360"/>
        <w:rPr>
          <w:rFonts w:ascii="Arial" w:hAnsi="Arial" w:cs="Arial"/>
          <w:sz w:val="22"/>
          <w:szCs w:val="22"/>
        </w:rPr>
      </w:pPr>
      <w:r w:rsidRPr="0036737B">
        <w:rPr>
          <w:rFonts w:ascii="Arial" w:hAnsi="Arial" w:cs="Arial"/>
          <w:sz w:val="22"/>
          <w:szCs w:val="22"/>
        </w:rPr>
        <w:lastRenderedPageBreak/>
        <w:t>Reed, D. C. and M. S. Foster. 1984. The Effects of Canopy Shadings on Algal Recruitment and Growth in a Giant Kelp Forest. Ecology</w:t>
      </w:r>
    </w:p>
    <w:sectPr w:rsidR="00515F22" w:rsidRPr="0036737B" w:rsidSect="0076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BF"/>
    <w:rsid w:val="000967BF"/>
    <w:rsid w:val="00111998"/>
    <w:rsid w:val="00136F89"/>
    <w:rsid w:val="002A7178"/>
    <w:rsid w:val="002C44FA"/>
    <w:rsid w:val="00317820"/>
    <w:rsid w:val="003313E8"/>
    <w:rsid w:val="003420B5"/>
    <w:rsid w:val="0036737B"/>
    <w:rsid w:val="00414F22"/>
    <w:rsid w:val="004E2B44"/>
    <w:rsid w:val="005065E3"/>
    <w:rsid w:val="00506DFD"/>
    <w:rsid w:val="00510F4A"/>
    <w:rsid w:val="00515F22"/>
    <w:rsid w:val="00602B5A"/>
    <w:rsid w:val="0065380F"/>
    <w:rsid w:val="007629B2"/>
    <w:rsid w:val="007A141F"/>
    <w:rsid w:val="007B36E7"/>
    <w:rsid w:val="007D5D27"/>
    <w:rsid w:val="009F3B12"/>
    <w:rsid w:val="00A167D6"/>
    <w:rsid w:val="00AB0549"/>
    <w:rsid w:val="00B465FD"/>
    <w:rsid w:val="00B97518"/>
    <w:rsid w:val="00BC649C"/>
    <w:rsid w:val="00BD27AD"/>
    <w:rsid w:val="00BD3F78"/>
    <w:rsid w:val="00C96E3B"/>
    <w:rsid w:val="00D90883"/>
    <w:rsid w:val="00E07DE6"/>
    <w:rsid w:val="00FF088F"/>
    <w:rsid w:val="1413E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E7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7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967BF"/>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67BF"/>
    <w:rPr>
      <w:rFonts w:ascii="Times New Roman" w:hAnsi="Times New Roman" w:cs="Times New Roman"/>
      <w:b/>
      <w:bCs/>
    </w:rPr>
  </w:style>
  <w:style w:type="paragraph" w:styleId="NormalWeb">
    <w:name w:val="Normal (Web)"/>
    <w:basedOn w:val="Normal"/>
    <w:uiPriority w:val="99"/>
    <w:semiHidden/>
    <w:unhideWhenUsed/>
    <w:rsid w:val="000967B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0967B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136F89"/>
    <w:rPr>
      <w:i/>
      <w:iCs/>
    </w:rPr>
  </w:style>
  <w:style w:type="character" w:styleId="CommentReference">
    <w:name w:val="annotation reference"/>
    <w:basedOn w:val="DefaultParagraphFont"/>
    <w:uiPriority w:val="99"/>
    <w:semiHidden/>
    <w:unhideWhenUsed/>
    <w:rsid w:val="00515F22"/>
    <w:rPr>
      <w:sz w:val="16"/>
      <w:szCs w:val="16"/>
    </w:rPr>
  </w:style>
  <w:style w:type="paragraph" w:styleId="CommentText">
    <w:name w:val="annotation text"/>
    <w:basedOn w:val="Normal"/>
    <w:link w:val="CommentTextChar"/>
    <w:uiPriority w:val="99"/>
    <w:semiHidden/>
    <w:unhideWhenUsed/>
    <w:rsid w:val="00515F22"/>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15F2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15F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F22"/>
    <w:rPr>
      <w:rFonts w:ascii="Times New Roman" w:hAnsi="Times New Roman" w:cs="Times New Roman"/>
      <w:sz w:val="18"/>
      <w:szCs w:val="18"/>
    </w:rPr>
  </w:style>
  <w:style w:type="character" w:styleId="PlaceholderText">
    <w:name w:val="Placeholder Text"/>
    <w:basedOn w:val="DefaultParagraphFont"/>
    <w:uiPriority w:val="99"/>
    <w:semiHidden/>
    <w:rsid w:val="00AB0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1247">
      <w:bodyDiv w:val="1"/>
      <w:marLeft w:val="0"/>
      <w:marRight w:val="0"/>
      <w:marTop w:val="0"/>
      <w:marBottom w:val="0"/>
      <w:divBdr>
        <w:top w:val="none" w:sz="0" w:space="0" w:color="auto"/>
        <w:left w:val="none" w:sz="0" w:space="0" w:color="auto"/>
        <w:bottom w:val="none" w:sz="0" w:space="0" w:color="auto"/>
        <w:right w:val="none" w:sz="0" w:space="0" w:color="auto"/>
      </w:divBdr>
    </w:div>
    <w:div w:id="308635850">
      <w:bodyDiv w:val="1"/>
      <w:marLeft w:val="0"/>
      <w:marRight w:val="0"/>
      <w:marTop w:val="0"/>
      <w:marBottom w:val="0"/>
      <w:divBdr>
        <w:top w:val="none" w:sz="0" w:space="0" w:color="auto"/>
        <w:left w:val="none" w:sz="0" w:space="0" w:color="auto"/>
        <w:bottom w:val="none" w:sz="0" w:space="0" w:color="auto"/>
        <w:right w:val="none" w:sz="0" w:space="0" w:color="auto"/>
      </w:divBdr>
    </w:div>
    <w:div w:id="656541014">
      <w:bodyDiv w:val="1"/>
      <w:marLeft w:val="0"/>
      <w:marRight w:val="0"/>
      <w:marTop w:val="0"/>
      <w:marBottom w:val="0"/>
      <w:divBdr>
        <w:top w:val="none" w:sz="0" w:space="0" w:color="auto"/>
        <w:left w:val="none" w:sz="0" w:space="0" w:color="auto"/>
        <w:bottom w:val="none" w:sz="0" w:space="0" w:color="auto"/>
        <w:right w:val="none" w:sz="0" w:space="0" w:color="auto"/>
      </w:divBdr>
    </w:div>
    <w:div w:id="739668036">
      <w:bodyDiv w:val="1"/>
      <w:marLeft w:val="0"/>
      <w:marRight w:val="0"/>
      <w:marTop w:val="0"/>
      <w:marBottom w:val="0"/>
      <w:divBdr>
        <w:top w:val="none" w:sz="0" w:space="0" w:color="auto"/>
        <w:left w:val="none" w:sz="0" w:space="0" w:color="auto"/>
        <w:bottom w:val="none" w:sz="0" w:space="0" w:color="auto"/>
        <w:right w:val="none" w:sz="0" w:space="0" w:color="auto"/>
      </w:divBdr>
    </w:div>
    <w:div w:id="748426905">
      <w:bodyDiv w:val="1"/>
      <w:marLeft w:val="0"/>
      <w:marRight w:val="0"/>
      <w:marTop w:val="0"/>
      <w:marBottom w:val="0"/>
      <w:divBdr>
        <w:top w:val="none" w:sz="0" w:space="0" w:color="auto"/>
        <w:left w:val="none" w:sz="0" w:space="0" w:color="auto"/>
        <w:bottom w:val="none" w:sz="0" w:space="0" w:color="auto"/>
        <w:right w:val="none" w:sz="0" w:space="0" w:color="auto"/>
      </w:divBdr>
    </w:div>
    <w:div w:id="936867491">
      <w:bodyDiv w:val="1"/>
      <w:marLeft w:val="0"/>
      <w:marRight w:val="0"/>
      <w:marTop w:val="0"/>
      <w:marBottom w:val="0"/>
      <w:divBdr>
        <w:top w:val="none" w:sz="0" w:space="0" w:color="auto"/>
        <w:left w:val="none" w:sz="0" w:space="0" w:color="auto"/>
        <w:bottom w:val="none" w:sz="0" w:space="0" w:color="auto"/>
        <w:right w:val="none" w:sz="0" w:space="0" w:color="auto"/>
      </w:divBdr>
    </w:div>
    <w:div w:id="1135875571">
      <w:bodyDiv w:val="1"/>
      <w:marLeft w:val="0"/>
      <w:marRight w:val="0"/>
      <w:marTop w:val="0"/>
      <w:marBottom w:val="0"/>
      <w:divBdr>
        <w:top w:val="none" w:sz="0" w:space="0" w:color="auto"/>
        <w:left w:val="none" w:sz="0" w:space="0" w:color="auto"/>
        <w:bottom w:val="none" w:sz="0" w:space="0" w:color="auto"/>
        <w:right w:val="none" w:sz="0" w:space="0" w:color="auto"/>
      </w:divBdr>
    </w:div>
    <w:div w:id="1174879779">
      <w:bodyDiv w:val="1"/>
      <w:marLeft w:val="0"/>
      <w:marRight w:val="0"/>
      <w:marTop w:val="0"/>
      <w:marBottom w:val="0"/>
      <w:divBdr>
        <w:top w:val="none" w:sz="0" w:space="0" w:color="auto"/>
        <w:left w:val="none" w:sz="0" w:space="0" w:color="auto"/>
        <w:bottom w:val="none" w:sz="0" w:space="0" w:color="auto"/>
        <w:right w:val="none" w:sz="0" w:space="0" w:color="auto"/>
      </w:divBdr>
    </w:div>
    <w:div w:id="1196885267">
      <w:bodyDiv w:val="1"/>
      <w:marLeft w:val="0"/>
      <w:marRight w:val="0"/>
      <w:marTop w:val="0"/>
      <w:marBottom w:val="0"/>
      <w:divBdr>
        <w:top w:val="none" w:sz="0" w:space="0" w:color="auto"/>
        <w:left w:val="none" w:sz="0" w:space="0" w:color="auto"/>
        <w:bottom w:val="none" w:sz="0" w:space="0" w:color="auto"/>
        <w:right w:val="none" w:sz="0" w:space="0" w:color="auto"/>
      </w:divBdr>
    </w:div>
    <w:div w:id="1197111673">
      <w:bodyDiv w:val="1"/>
      <w:marLeft w:val="0"/>
      <w:marRight w:val="0"/>
      <w:marTop w:val="0"/>
      <w:marBottom w:val="0"/>
      <w:divBdr>
        <w:top w:val="none" w:sz="0" w:space="0" w:color="auto"/>
        <w:left w:val="none" w:sz="0" w:space="0" w:color="auto"/>
        <w:bottom w:val="none" w:sz="0" w:space="0" w:color="auto"/>
        <w:right w:val="none" w:sz="0" w:space="0" w:color="auto"/>
      </w:divBdr>
    </w:div>
    <w:div w:id="1362827407">
      <w:bodyDiv w:val="1"/>
      <w:marLeft w:val="0"/>
      <w:marRight w:val="0"/>
      <w:marTop w:val="0"/>
      <w:marBottom w:val="0"/>
      <w:divBdr>
        <w:top w:val="none" w:sz="0" w:space="0" w:color="auto"/>
        <w:left w:val="none" w:sz="0" w:space="0" w:color="auto"/>
        <w:bottom w:val="none" w:sz="0" w:space="0" w:color="auto"/>
        <w:right w:val="none" w:sz="0" w:space="0" w:color="auto"/>
      </w:divBdr>
    </w:div>
    <w:div w:id="1371613271">
      <w:bodyDiv w:val="1"/>
      <w:marLeft w:val="0"/>
      <w:marRight w:val="0"/>
      <w:marTop w:val="0"/>
      <w:marBottom w:val="0"/>
      <w:divBdr>
        <w:top w:val="none" w:sz="0" w:space="0" w:color="auto"/>
        <w:left w:val="none" w:sz="0" w:space="0" w:color="auto"/>
        <w:bottom w:val="none" w:sz="0" w:space="0" w:color="auto"/>
        <w:right w:val="none" w:sz="0" w:space="0" w:color="auto"/>
      </w:divBdr>
    </w:div>
    <w:div w:id="1386368942">
      <w:bodyDiv w:val="1"/>
      <w:marLeft w:val="0"/>
      <w:marRight w:val="0"/>
      <w:marTop w:val="0"/>
      <w:marBottom w:val="0"/>
      <w:divBdr>
        <w:top w:val="none" w:sz="0" w:space="0" w:color="auto"/>
        <w:left w:val="none" w:sz="0" w:space="0" w:color="auto"/>
        <w:bottom w:val="none" w:sz="0" w:space="0" w:color="auto"/>
        <w:right w:val="none" w:sz="0" w:space="0" w:color="auto"/>
      </w:divBdr>
    </w:div>
    <w:div w:id="1435977256">
      <w:bodyDiv w:val="1"/>
      <w:marLeft w:val="0"/>
      <w:marRight w:val="0"/>
      <w:marTop w:val="0"/>
      <w:marBottom w:val="0"/>
      <w:divBdr>
        <w:top w:val="none" w:sz="0" w:space="0" w:color="auto"/>
        <w:left w:val="none" w:sz="0" w:space="0" w:color="auto"/>
        <w:bottom w:val="none" w:sz="0" w:space="0" w:color="auto"/>
        <w:right w:val="none" w:sz="0" w:space="0" w:color="auto"/>
      </w:divBdr>
    </w:div>
    <w:div w:id="1480532541">
      <w:bodyDiv w:val="1"/>
      <w:marLeft w:val="0"/>
      <w:marRight w:val="0"/>
      <w:marTop w:val="0"/>
      <w:marBottom w:val="0"/>
      <w:divBdr>
        <w:top w:val="none" w:sz="0" w:space="0" w:color="auto"/>
        <w:left w:val="none" w:sz="0" w:space="0" w:color="auto"/>
        <w:bottom w:val="none" w:sz="0" w:space="0" w:color="auto"/>
        <w:right w:val="none" w:sz="0" w:space="0" w:color="auto"/>
      </w:divBdr>
    </w:div>
    <w:div w:id="1575503747">
      <w:bodyDiv w:val="1"/>
      <w:marLeft w:val="0"/>
      <w:marRight w:val="0"/>
      <w:marTop w:val="0"/>
      <w:marBottom w:val="0"/>
      <w:divBdr>
        <w:top w:val="none" w:sz="0" w:space="0" w:color="auto"/>
        <w:left w:val="none" w:sz="0" w:space="0" w:color="auto"/>
        <w:bottom w:val="none" w:sz="0" w:space="0" w:color="auto"/>
        <w:right w:val="none" w:sz="0" w:space="0" w:color="auto"/>
      </w:divBdr>
      <w:divsChild>
        <w:div w:id="519586296">
          <w:marLeft w:val="0"/>
          <w:marRight w:val="0"/>
          <w:marTop w:val="0"/>
          <w:marBottom w:val="0"/>
          <w:divBdr>
            <w:top w:val="none" w:sz="0" w:space="0" w:color="auto"/>
            <w:left w:val="none" w:sz="0" w:space="0" w:color="auto"/>
            <w:bottom w:val="none" w:sz="0" w:space="0" w:color="auto"/>
            <w:right w:val="none" w:sz="0" w:space="0" w:color="auto"/>
          </w:divBdr>
        </w:div>
      </w:divsChild>
    </w:div>
    <w:div w:id="1659306823">
      <w:bodyDiv w:val="1"/>
      <w:marLeft w:val="0"/>
      <w:marRight w:val="0"/>
      <w:marTop w:val="0"/>
      <w:marBottom w:val="0"/>
      <w:divBdr>
        <w:top w:val="none" w:sz="0" w:space="0" w:color="auto"/>
        <w:left w:val="none" w:sz="0" w:space="0" w:color="auto"/>
        <w:bottom w:val="none" w:sz="0" w:space="0" w:color="auto"/>
        <w:right w:val="none" w:sz="0" w:space="0" w:color="auto"/>
      </w:divBdr>
    </w:div>
    <w:div w:id="1757899280">
      <w:bodyDiv w:val="1"/>
      <w:marLeft w:val="0"/>
      <w:marRight w:val="0"/>
      <w:marTop w:val="0"/>
      <w:marBottom w:val="0"/>
      <w:divBdr>
        <w:top w:val="none" w:sz="0" w:space="0" w:color="auto"/>
        <w:left w:val="none" w:sz="0" w:space="0" w:color="auto"/>
        <w:bottom w:val="none" w:sz="0" w:space="0" w:color="auto"/>
        <w:right w:val="none" w:sz="0" w:space="0" w:color="auto"/>
      </w:divBdr>
    </w:div>
    <w:div w:id="2003388026">
      <w:bodyDiv w:val="1"/>
      <w:marLeft w:val="0"/>
      <w:marRight w:val="0"/>
      <w:marTop w:val="0"/>
      <w:marBottom w:val="0"/>
      <w:divBdr>
        <w:top w:val="none" w:sz="0" w:space="0" w:color="auto"/>
        <w:left w:val="none" w:sz="0" w:space="0" w:color="auto"/>
        <w:bottom w:val="none" w:sz="0" w:space="0" w:color="auto"/>
        <w:right w:val="none" w:sz="0" w:space="0" w:color="auto"/>
      </w:divBdr>
    </w:div>
    <w:div w:id="2023319002">
      <w:bodyDiv w:val="1"/>
      <w:marLeft w:val="0"/>
      <w:marRight w:val="0"/>
      <w:marTop w:val="0"/>
      <w:marBottom w:val="0"/>
      <w:divBdr>
        <w:top w:val="none" w:sz="0" w:space="0" w:color="auto"/>
        <w:left w:val="none" w:sz="0" w:space="0" w:color="auto"/>
        <w:bottom w:val="none" w:sz="0" w:space="0" w:color="auto"/>
        <w:right w:val="none" w:sz="0" w:space="0" w:color="auto"/>
      </w:divBdr>
    </w:div>
    <w:div w:id="2051491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Le</dc:creator>
  <cp:keywords/>
  <dc:description/>
  <cp:lastModifiedBy>LK</cp:lastModifiedBy>
  <cp:revision>16</cp:revision>
  <dcterms:created xsi:type="dcterms:W3CDTF">2017-08-12T19:19:00Z</dcterms:created>
  <dcterms:modified xsi:type="dcterms:W3CDTF">2019-10-16T23:33:00Z</dcterms:modified>
</cp:coreProperties>
</file>